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sz w:val="28"/>
          <w:szCs w:val="28"/>
          <w:u w:val="single"/>
        </w:rPr>
      </w:pPr>
      <w:r w:rsidDel="00000000" w:rsidR="00000000" w:rsidRPr="00000000">
        <w:rPr>
          <w:b w:val="1"/>
          <w:sz w:val="28"/>
          <w:szCs w:val="28"/>
          <w:u w:val="single"/>
          <w:rtl w:val="0"/>
        </w:rPr>
        <w:t xml:space="preserve">Refluxní choroba jícnu a ezogitida</w:t>
      </w:r>
    </w:p>
    <w:p w:rsidR="00000000" w:rsidDel="00000000" w:rsidP="00000000" w:rsidRDefault="00000000" w:rsidRPr="00000000" w14:paraId="00000002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/>
      </w:pPr>
      <w:r w:rsidDel="00000000" w:rsidR="00000000" w:rsidRPr="00000000">
        <w:rPr>
          <w:b w:val="1"/>
          <w:u w:val="single"/>
          <w:rtl w:val="0"/>
        </w:rPr>
        <w:t xml:space="preserve">Gastroezofageální reflux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= návrat žaludečního obsahu do jícnu. Do určité míry jde o stav fyziologický, není ale nijak nepříjemně vnímán. </w:t>
      </w:r>
    </w:p>
    <w:p w:rsidR="00000000" w:rsidDel="00000000" w:rsidP="00000000" w:rsidRDefault="00000000" w:rsidRPr="00000000" w14:paraId="00000004">
      <w:pPr>
        <w:jc w:val="both"/>
        <w:rPr/>
      </w:pPr>
      <w:r w:rsidDel="00000000" w:rsidR="00000000" w:rsidRPr="00000000">
        <w:rPr>
          <w:b w:val="1"/>
          <w:u w:val="single"/>
          <w:rtl w:val="0"/>
        </w:rPr>
        <w:t xml:space="preserve">Refluxní nemoc jícnu</w:t>
      </w:r>
      <w:r w:rsidDel="00000000" w:rsidR="00000000" w:rsidRPr="00000000">
        <w:rPr>
          <w:rtl w:val="0"/>
        </w:rPr>
        <w:t xml:space="preserve"> = onemocnění způsobené nadměrným gastroezofageálním refluxem. 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ind w:left="720" w:hanging="360"/>
        <w:jc w:val="both"/>
      </w:pPr>
      <w:r w:rsidDel="00000000" w:rsidR="00000000" w:rsidRPr="00000000">
        <w:rPr>
          <w:b w:val="1"/>
          <w:rtl w:val="0"/>
        </w:rPr>
        <w:t xml:space="preserve">Refluxní ezofagitida </w:t>
      </w:r>
      <w:r w:rsidDel="00000000" w:rsidR="00000000" w:rsidRPr="00000000">
        <w:rPr>
          <w:rtl w:val="0"/>
        </w:rPr>
        <w:t xml:space="preserve">- typickým makroskopickým nálezem slizničních změn v distálním jícnu.  Dle makroskopického endoskopického obrazu je možnost refluxní ezofagitidu klasifikovat do několika stupňů (Los Angeles A-D, Savary Miller I-IV apod.).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ind w:left="720" w:hanging="360"/>
        <w:jc w:val="both"/>
      </w:pPr>
      <w:r w:rsidDel="00000000" w:rsidR="00000000" w:rsidRPr="00000000">
        <w:rPr>
          <w:b w:val="1"/>
          <w:rtl w:val="0"/>
        </w:rPr>
        <w:t xml:space="preserve">Mikroskopická ezofagitida</w:t>
      </w:r>
      <w:r w:rsidDel="00000000" w:rsidR="00000000" w:rsidRPr="00000000">
        <w:rPr>
          <w:rtl w:val="0"/>
        </w:rPr>
        <w:t xml:space="preserve"> - změny v histologickém obrazu jícnové sliznice, mohou být někdy přítomny i při makroskopicky normálním nálezu.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ind w:left="720" w:hanging="360"/>
        <w:jc w:val="both"/>
      </w:pPr>
      <w:r w:rsidDel="00000000" w:rsidR="00000000" w:rsidRPr="00000000">
        <w:rPr>
          <w:b w:val="1"/>
          <w:rtl w:val="0"/>
        </w:rPr>
        <w:t xml:space="preserve">Endoskopicky negativní/neerozivní refluxní nemoc jícnu (NERD)-</w:t>
      </w:r>
      <w:r w:rsidDel="00000000" w:rsidR="00000000" w:rsidRPr="00000000">
        <w:rPr>
          <w:rtl w:val="0"/>
        </w:rPr>
        <w:t xml:space="preserve"> normální endoskopický nález při recidivujících refluxních obtížích, bývá přítomen až u 50 % pacientů.</w:t>
      </w:r>
    </w:p>
    <w:p w:rsidR="00000000" w:rsidDel="00000000" w:rsidP="00000000" w:rsidRDefault="00000000" w:rsidRPr="00000000" w14:paraId="00000008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jc w:val="both"/>
        <w:rPr/>
      </w:pPr>
      <w:r w:rsidDel="00000000" w:rsidR="00000000" w:rsidRPr="00000000">
        <w:rPr>
          <w:rtl w:val="0"/>
        </w:rPr>
        <w:t xml:space="preserve">- Bohužel není přímá úměra mezi rozsahem patologického refluxu, přítomností potíží a endoskopickými a histologickými změnami sliznice jícnu vyvolanými refluxem.</w:t>
      </w:r>
    </w:p>
    <w:p w:rsidR="00000000" w:rsidDel="00000000" w:rsidP="00000000" w:rsidRDefault="00000000" w:rsidRPr="00000000" w14:paraId="0000000A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Komplikace </w:t>
      </w:r>
    </w:p>
    <w:p w:rsidR="00000000" w:rsidDel="00000000" w:rsidP="00000000" w:rsidRDefault="00000000" w:rsidRPr="00000000" w14:paraId="0000000C">
      <w:pPr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- Porefluxní stenóza jícnu</w:t>
      </w:r>
      <w:r w:rsidDel="00000000" w:rsidR="00000000" w:rsidRPr="00000000">
        <w:rPr>
          <w:rtl w:val="0"/>
        </w:rPr>
        <w:t xml:space="preserve"> s polykacími potížemi a krvácení do trávicího traktu </w:t>
      </w:r>
    </w:p>
    <w:p w:rsidR="00000000" w:rsidDel="00000000" w:rsidP="00000000" w:rsidRDefault="00000000" w:rsidRPr="00000000" w14:paraId="0000000D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- </w:t>
      </w:r>
      <w:r w:rsidDel="00000000" w:rsidR="00000000" w:rsidRPr="00000000">
        <w:rPr>
          <w:b w:val="1"/>
          <w:rtl w:val="0"/>
        </w:rPr>
        <w:t xml:space="preserve">Barrettův jícen </w:t>
      </w:r>
      <w:r w:rsidDel="00000000" w:rsidR="00000000" w:rsidRPr="00000000">
        <w:rPr>
          <w:rtl w:val="0"/>
        </w:rPr>
        <w:t xml:space="preserve"> - náhradu dlaždicového epitelu epitelem cylindrickým s intestinální metaplazií. </w:t>
      </w:r>
      <w:r w:rsidDel="00000000" w:rsidR="00000000" w:rsidRPr="00000000">
        <w:rPr>
          <w:rtl w:val="0"/>
        </w:rPr>
        <w:t xml:space="preserve">Barrettův jícen označujeme jako prekancerózu k adenokarcinomu.</w:t>
      </w:r>
    </w:p>
    <w:p w:rsidR="00000000" w:rsidDel="00000000" w:rsidP="00000000" w:rsidRDefault="00000000" w:rsidRPr="00000000" w14:paraId="0000000E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ind w:left="0" w:firstLine="0"/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Klinický obraz</w:t>
      </w:r>
    </w:p>
    <w:p w:rsidR="00000000" w:rsidDel="00000000" w:rsidP="00000000" w:rsidRDefault="00000000" w:rsidRPr="00000000" w14:paraId="00000010">
      <w:pPr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1) Typické obtíže</w:t>
      </w:r>
      <w:r w:rsidDel="00000000" w:rsidR="00000000" w:rsidRPr="00000000">
        <w:rPr>
          <w:rtl w:val="0"/>
        </w:rPr>
        <w:t xml:space="preserve"> -  </w:t>
      </w:r>
      <w:r w:rsidDel="00000000" w:rsidR="00000000" w:rsidRPr="00000000">
        <w:rPr>
          <w:u w:val="single"/>
          <w:rtl w:val="0"/>
        </w:rPr>
        <w:t xml:space="preserve">pálení žáhy (pyróza)</w:t>
      </w:r>
      <w:r w:rsidDel="00000000" w:rsidR="00000000" w:rsidRPr="00000000">
        <w:rPr>
          <w:rtl w:val="0"/>
        </w:rPr>
        <w:t xml:space="preserve"> - opakovaný výskyt zvláště v typických situacích (po jídle, v předklonu, po ulehnutí). </w:t>
      </w:r>
      <w:r w:rsidDel="00000000" w:rsidR="00000000" w:rsidRPr="00000000">
        <w:rPr>
          <w:u w:val="single"/>
          <w:rtl w:val="0"/>
        </w:rPr>
        <w:t xml:space="preserve">Regurgitace</w:t>
      </w:r>
      <w:r w:rsidDel="00000000" w:rsidR="00000000" w:rsidRPr="00000000">
        <w:rPr>
          <w:rtl w:val="0"/>
        </w:rPr>
        <w:t xml:space="preserve"> - návrat žaludečního obsahu do jícnu, hltanu i úst.</w:t>
      </w:r>
    </w:p>
    <w:p w:rsidR="00000000" w:rsidDel="00000000" w:rsidP="00000000" w:rsidRDefault="00000000" w:rsidRPr="00000000" w14:paraId="00000011">
      <w:pPr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2) Atypické příznaky</w:t>
      </w:r>
      <w:r w:rsidDel="00000000" w:rsidR="00000000" w:rsidRPr="00000000">
        <w:rPr>
          <w:rtl w:val="0"/>
        </w:rPr>
        <w:t xml:space="preserve"> - </w:t>
      </w:r>
      <w:r w:rsidDel="00000000" w:rsidR="00000000" w:rsidRPr="00000000">
        <w:rPr>
          <w:rtl w:val="0"/>
        </w:rPr>
        <w:t xml:space="preserve"> bolest na hrudi</w:t>
      </w:r>
      <w:r w:rsidDel="00000000" w:rsidR="00000000" w:rsidRPr="00000000">
        <w:rPr>
          <w:rtl w:val="0"/>
        </w:rPr>
        <w:t xml:space="preserve"> (po vyšetření označena jako nekardiální), dysfagie, odynofagie, říhání, zvracení a bolesti v epigastriu. </w:t>
      </w:r>
    </w:p>
    <w:p w:rsidR="00000000" w:rsidDel="00000000" w:rsidP="00000000" w:rsidRDefault="00000000" w:rsidRPr="00000000" w14:paraId="00000012">
      <w:pPr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3) Symptomy mimojícnové – extraezofageální  (dýchací cesty, hlava a krk)</w:t>
      </w:r>
      <w:r w:rsidDel="00000000" w:rsidR="00000000" w:rsidRPr="00000000">
        <w:rPr>
          <w:rtl w:val="0"/>
        </w:rPr>
        <w:t xml:space="preserve"> - může podílet na chronickém kašli, chrapotu, pocitu chronického dráždění v krku (globus), recidivující laryngitidě, některých případech astma bronchiale a vzácněji i na recidivujících infekcích dýchacích cest (hlavně u dětí), zápachu z úst a zvýšené kazivosti zubů. </w:t>
      </w:r>
    </w:p>
    <w:p w:rsidR="00000000" w:rsidDel="00000000" w:rsidP="00000000" w:rsidRDefault="00000000" w:rsidRPr="00000000" w14:paraId="00000013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ind w:left="0" w:firstLine="0"/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Etiologie</w:t>
      </w:r>
    </w:p>
    <w:p w:rsidR="00000000" w:rsidDel="00000000" w:rsidP="00000000" w:rsidRDefault="00000000" w:rsidRPr="00000000" w14:paraId="00000015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 -</w:t>
      </w:r>
      <w:r w:rsidDel="00000000" w:rsidR="00000000" w:rsidRPr="00000000">
        <w:rPr>
          <w:b w:val="1"/>
          <w:rtl w:val="0"/>
        </w:rPr>
        <w:t xml:space="preserve"> Prorefluxně působí agresivita žaludečního obsahu</w:t>
      </w:r>
      <w:r w:rsidDel="00000000" w:rsidR="00000000" w:rsidRPr="00000000">
        <w:rPr>
          <w:rtl w:val="0"/>
        </w:rPr>
        <w:t xml:space="preserve"> (HCl, pepsin, někdy i solí žlučových kyselin při duodenogastrickém refluxu).</w:t>
      </w:r>
    </w:p>
    <w:p w:rsidR="00000000" w:rsidDel="00000000" w:rsidP="00000000" w:rsidRDefault="00000000" w:rsidRPr="00000000" w14:paraId="00000016">
      <w:pPr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- Anatomické změny </w:t>
      </w:r>
      <w:r w:rsidDel="00000000" w:rsidR="00000000" w:rsidRPr="00000000">
        <w:rPr>
          <w:rtl w:val="0"/>
        </w:rPr>
        <w:t xml:space="preserve">- mechanická insuficience dolního jícnového svěrače, hiátová hernie, abdominální přetlak při obezitě.</w:t>
      </w:r>
    </w:p>
    <w:p w:rsidR="00000000" w:rsidDel="00000000" w:rsidP="00000000" w:rsidRDefault="00000000" w:rsidRPr="00000000" w14:paraId="00000017">
      <w:pPr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- Zevní vlivy </w:t>
      </w:r>
      <w:r w:rsidDel="00000000" w:rsidR="00000000" w:rsidRPr="00000000">
        <w:rPr>
          <w:rtl w:val="0"/>
        </w:rPr>
        <w:t xml:space="preserve">– skladba jídelníčku, stravovací režim, léky snižující tlak dolního jícnového svěrače (aminofyliny, antagonisté kalcia, nitráty), kouření, kofein, zvedání břemen, těhotenství atd.</w:t>
      </w:r>
    </w:p>
    <w:p w:rsidR="00000000" w:rsidDel="00000000" w:rsidP="00000000" w:rsidRDefault="00000000" w:rsidRPr="00000000" w14:paraId="00000018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ind w:lef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ind w:left="0" w:firstLine="0"/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Diagnostika</w:t>
      </w:r>
    </w:p>
    <w:p w:rsidR="00000000" w:rsidDel="00000000" w:rsidP="00000000" w:rsidRDefault="00000000" w:rsidRPr="00000000" w14:paraId="0000001D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 Dle klinického nálezu </w:t>
      </w:r>
      <w:r w:rsidDel="00000000" w:rsidR="00000000" w:rsidRPr="00000000">
        <w:rPr>
          <w:rtl w:val="0"/>
        </w:rPr>
        <w:t xml:space="preserve">- přítomnost typických příznaků.</w:t>
      </w:r>
    </w:p>
    <w:p w:rsidR="00000000" w:rsidDel="00000000" w:rsidP="00000000" w:rsidRDefault="00000000" w:rsidRPr="00000000" w14:paraId="0000001E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- </w:t>
      </w:r>
      <w:r w:rsidDel="00000000" w:rsidR="00000000" w:rsidRPr="00000000">
        <w:rPr>
          <w:b w:val="1"/>
          <w:rtl w:val="0"/>
        </w:rPr>
        <w:t xml:space="preserve">Terapeutický test podáváním plné terapeutické dávky inhibitorů protonové pumpy </w:t>
      </w:r>
      <w:r w:rsidDel="00000000" w:rsidR="00000000" w:rsidRPr="00000000">
        <w:rPr>
          <w:rtl w:val="0"/>
        </w:rPr>
        <w:t xml:space="preserve">po dobu 2 týdnů (omeprazol 20 mg 1-0-1) - hlavně u atypických příznaků.</w:t>
      </w:r>
    </w:p>
    <w:p w:rsidR="00000000" w:rsidDel="00000000" w:rsidP="00000000" w:rsidRDefault="00000000" w:rsidRPr="00000000" w14:paraId="0000001F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-</w:t>
      </w:r>
      <w:r w:rsidDel="00000000" w:rsidR="00000000" w:rsidRPr="00000000">
        <w:rPr>
          <w:b w:val="1"/>
          <w:rtl w:val="0"/>
        </w:rPr>
        <w:t xml:space="preserve"> Endoskopie</w:t>
      </w:r>
      <w:r w:rsidDel="00000000" w:rsidR="00000000" w:rsidRPr="00000000">
        <w:rPr>
          <w:rtl w:val="0"/>
        </w:rPr>
        <w:t xml:space="preserve"> - diagnostika refluxní ezofagitidy, komplikací (stenóza, Barrettův jícen) a vyloučí jinou strukturální patologii. </w:t>
      </w:r>
    </w:p>
    <w:p w:rsidR="00000000" w:rsidDel="00000000" w:rsidP="00000000" w:rsidRDefault="00000000" w:rsidRPr="00000000" w14:paraId="00000020">
      <w:pPr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- Biopsie </w:t>
      </w:r>
      <w:r w:rsidDel="00000000" w:rsidR="00000000" w:rsidRPr="00000000">
        <w:rPr>
          <w:rtl w:val="0"/>
        </w:rPr>
        <w:t xml:space="preserve">z distálního jícnu a histologické vyšetření.</w:t>
      </w:r>
    </w:p>
    <w:p w:rsidR="00000000" w:rsidDel="00000000" w:rsidP="00000000" w:rsidRDefault="00000000" w:rsidRPr="00000000" w14:paraId="00000021">
      <w:pPr>
        <w:jc w:val="both"/>
        <w:rPr/>
      </w:pPr>
      <w:r w:rsidDel="00000000" w:rsidR="00000000" w:rsidRPr="00000000">
        <w:rPr>
          <w:b w:val="1"/>
          <w:rtl w:val="0"/>
        </w:rPr>
        <w:t xml:space="preserve">-  Jícnová pH-metrie</w:t>
      </w:r>
      <w:r w:rsidDel="00000000" w:rsidR="00000000" w:rsidRPr="00000000">
        <w:rPr>
          <w:rtl w:val="0"/>
        </w:rPr>
        <w:t xml:space="preserve"> - detekce přítomnost kyselého obsahu v jícnu v průběhu dne i noci a současný vztah k obtížím. Hlavně u pacientů s převážně atypickými a mimojícnovými projevy a bez nálezu refluxní ezofagitidy, u špatné odpovědi na konzervativní léčbu a při nejasnostech před indikací operačního řešení.</w:t>
      </w:r>
    </w:p>
    <w:p w:rsidR="00000000" w:rsidDel="00000000" w:rsidP="00000000" w:rsidRDefault="00000000" w:rsidRPr="00000000" w14:paraId="00000022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Terapie</w:t>
      </w:r>
    </w:p>
    <w:p w:rsidR="00000000" w:rsidDel="00000000" w:rsidP="00000000" w:rsidRDefault="00000000" w:rsidRPr="00000000" w14:paraId="00000024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1) Dietní opatření</w:t>
      </w:r>
    </w:p>
    <w:p w:rsidR="00000000" w:rsidDel="00000000" w:rsidP="00000000" w:rsidRDefault="00000000" w:rsidRPr="00000000" w14:paraId="00000025">
      <w:pPr>
        <w:jc w:val="both"/>
        <w:rPr/>
      </w:pPr>
      <w:r w:rsidDel="00000000" w:rsidR="00000000" w:rsidRPr="00000000">
        <w:rPr>
          <w:b w:val="1"/>
          <w:rtl w:val="0"/>
        </w:rPr>
        <w:t xml:space="preserve">2) Režimová opatření </w:t>
      </w:r>
      <w:r w:rsidDel="00000000" w:rsidR="00000000" w:rsidRPr="00000000">
        <w:rPr>
          <w:rtl w:val="0"/>
        </w:rPr>
        <w:t xml:space="preserve">- jídlo rozvrhnout do 5-6 menších porcí ( nejhorší je hlavní velké jídlo večer po prakticky celodenním lačnění). Zachování intervalu mezi posledním jídlem a ulehnutím či prací v předklonu alespoň tři hodiny i více, k dostatečnému vyprázdnění žaludku. Redukce hmotnosti a omezení kouření a kávy. U nemocných s převažující noční regurgitací zvýšená poloha horní části postele.</w:t>
      </w:r>
    </w:p>
    <w:p w:rsidR="00000000" w:rsidDel="00000000" w:rsidP="00000000" w:rsidRDefault="00000000" w:rsidRPr="00000000" w14:paraId="00000026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3) Medikamentózní terapie</w:t>
      </w:r>
    </w:p>
    <w:p w:rsidR="00000000" w:rsidDel="00000000" w:rsidP="00000000" w:rsidRDefault="00000000" w:rsidRPr="00000000" w14:paraId="00000027">
      <w:pPr>
        <w:numPr>
          <w:ilvl w:val="0"/>
          <w:numId w:val="2"/>
        </w:numPr>
        <w:ind w:left="720" w:hanging="360"/>
        <w:jc w:val="both"/>
        <w:rPr>
          <w:u w:val="none"/>
        </w:rPr>
      </w:pPr>
      <w:r w:rsidDel="00000000" w:rsidR="00000000" w:rsidRPr="00000000">
        <w:rPr>
          <w:u w:val="single"/>
          <w:rtl w:val="0"/>
        </w:rPr>
        <w:t xml:space="preserve">Antacida</w:t>
      </w:r>
      <w:r w:rsidDel="00000000" w:rsidR="00000000" w:rsidRPr="00000000">
        <w:rPr>
          <w:rtl w:val="0"/>
        </w:rPr>
        <w:t xml:space="preserve"> (u mírných forem refluxu, hlavně po dietní chybě) - volně dostupná, vedou ke krátkodobé symptomatické úlevě bez prevence recidiv potíží a bez zlepšení slizničního nálezu v jícnu.  Např. hydroxidu aluminia a magnézia nebo bikarbonát s alginátem.</w:t>
      </w:r>
    </w:p>
    <w:p w:rsidR="00000000" w:rsidDel="00000000" w:rsidP="00000000" w:rsidRDefault="00000000" w:rsidRPr="00000000" w14:paraId="00000028">
      <w:pPr>
        <w:numPr>
          <w:ilvl w:val="0"/>
          <w:numId w:val="3"/>
        </w:numPr>
        <w:ind w:left="720" w:hanging="360"/>
        <w:jc w:val="both"/>
        <w:rPr>
          <w:u w:val="none"/>
        </w:rPr>
      </w:pPr>
      <w:r w:rsidDel="00000000" w:rsidR="00000000" w:rsidRPr="00000000">
        <w:rPr>
          <w:u w:val="single"/>
          <w:rtl w:val="0"/>
        </w:rPr>
        <w:t xml:space="preserve">IPP</w:t>
      </w:r>
      <w:r w:rsidDel="00000000" w:rsidR="00000000" w:rsidRPr="00000000">
        <w:rPr>
          <w:rtl w:val="0"/>
        </w:rPr>
        <w:t xml:space="preserve"> - terapie systémem „step down“ tzn. začít s nejefektivnějšími léky k vyhojení esofagitidy a úlevě obtíží s následným pozvolným snižováním dávky v udržovací léčbě. Refluxní esofagitida - 2×20 mg omeprazol, 2×30 mg lanzoprazol, 1–2×40 mg pantoprazol) po 4–8 týdnů s následným podáváním 1× denně. Neerozivní refluxní nemoci se řídíme symptomy - jedna denní dávka ráno (20 mg omeprazol, 30 mg lanzoprazol nebo 40 mg pantoprazol) po dobu 4–6 týdnů s následným snížením dle potíží. IPP - zvýšená pozornost u žen s rizikem rozvoje osteoporózy a ui pacientů s infekcí H. pylori.</w:t>
      </w:r>
    </w:p>
    <w:p w:rsidR="00000000" w:rsidDel="00000000" w:rsidP="00000000" w:rsidRDefault="00000000" w:rsidRPr="00000000" w14:paraId="00000029">
      <w:pPr>
        <w:numPr>
          <w:ilvl w:val="0"/>
          <w:numId w:val="3"/>
        </w:numPr>
        <w:ind w:left="720" w:hanging="360"/>
        <w:jc w:val="both"/>
        <w:rPr>
          <w:u w:val="none"/>
        </w:rPr>
      </w:pPr>
      <w:r w:rsidDel="00000000" w:rsidR="00000000" w:rsidRPr="00000000">
        <w:rPr>
          <w:u w:val="single"/>
          <w:rtl w:val="0"/>
        </w:rPr>
        <w:t xml:space="preserve">Antagonické H2-receptory</w:t>
      </w:r>
      <w:r w:rsidDel="00000000" w:rsidR="00000000" w:rsidRPr="00000000">
        <w:rPr>
          <w:b w:val="1"/>
          <w:rtl w:val="0"/>
        </w:rPr>
        <w:t xml:space="preserve"> </w:t>
      </w:r>
      <w:r w:rsidDel="00000000" w:rsidR="00000000" w:rsidRPr="00000000">
        <w:rPr>
          <w:rtl w:val="0"/>
        </w:rPr>
        <w:t xml:space="preserve">- (ranitidin, famotidin) je limitováno jejich menší účinností a rizikem poklesu efektu při delším podávání vlivem tachyfylaxe.</w:t>
      </w:r>
    </w:p>
    <w:p w:rsidR="00000000" w:rsidDel="00000000" w:rsidP="00000000" w:rsidRDefault="00000000" w:rsidRPr="00000000" w14:paraId="0000002A">
      <w:pPr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4) Chirurgická terapie</w:t>
      </w:r>
    </w:p>
    <w:p w:rsidR="00000000" w:rsidDel="00000000" w:rsidP="00000000" w:rsidRDefault="00000000" w:rsidRPr="00000000" w14:paraId="0000002B">
      <w:pPr>
        <w:numPr>
          <w:ilvl w:val="0"/>
          <w:numId w:val="4"/>
        </w:numPr>
        <w:ind w:left="720" w:hanging="360"/>
        <w:jc w:val="both"/>
      </w:pPr>
      <w:r w:rsidDel="00000000" w:rsidR="00000000" w:rsidRPr="00000000">
        <w:rPr>
          <w:rtl w:val="0"/>
        </w:rPr>
        <w:t xml:space="preserve">U nemocných s nedostatečným efektem farmakoterapie, přetrvávajících regurgitacích a extraezofageálních příznacích a při kombinaci s anatomickými abnormalitami nejčastěji větší hiátovou hernií.</w:t>
      </w:r>
    </w:p>
    <w:p w:rsidR="00000000" w:rsidDel="00000000" w:rsidP="00000000" w:rsidRDefault="00000000" w:rsidRPr="00000000" w14:paraId="0000002C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jc w:val="center"/>
        <w:rPr>
          <w:b w:val="1"/>
          <w:sz w:val="28"/>
          <w:szCs w:val="28"/>
          <w:u w:val="single"/>
        </w:rPr>
      </w:pPr>
      <w:r w:rsidDel="00000000" w:rsidR="00000000" w:rsidRPr="00000000">
        <w:rPr>
          <w:b w:val="1"/>
          <w:sz w:val="28"/>
          <w:szCs w:val="28"/>
          <w:u w:val="single"/>
          <w:rtl w:val="0"/>
        </w:rPr>
        <w:t xml:space="preserve">Vředová choroba gastroduodena</w:t>
      </w:r>
    </w:p>
    <w:p w:rsidR="00000000" w:rsidDel="00000000" w:rsidP="00000000" w:rsidRDefault="00000000" w:rsidRPr="00000000" w14:paraId="00000035">
      <w:pPr>
        <w:jc w:val="both"/>
        <w:rPr/>
      </w:pPr>
      <w:r w:rsidDel="00000000" w:rsidR="00000000" w:rsidRPr="00000000">
        <w:rPr>
          <w:b w:val="1"/>
          <w:rtl w:val="0"/>
        </w:rPr>
        <w:t xml:space="preserve">Peptický vřed</w:t>
      </w:r>
      <w:r w:rsidDel="00000000" w:rsidR="00000000" w:rsidRPr="00000000">
        <w:rPr>
          <w:rtl w:val="0"/>
        </w:rPr>
        <w:t xml:space="preserve"> = defekt na sliznici trávicího traktu, který je způsobený účinkem kyseliny chlorovodíkové a pepsinu. Vždy prostupuje přes lamina muscularis mucosae různě hluboko do stěny trávicího traktu. </w:t>
      </w:r>
    </w:p>
    <w:p w:rsidR="00000000" w:rsidDel="00000000" w:rsidP="00000000" w:rsidRDefault="00000000" w:rsidRPr="00000000" w14:paraId="00000036">
      <w:pPr>
        <w:jc w:val="both"/>
        <w:rPr/>
      </w:pPr>
      <w:r w:rsidDel="00000000" w:rsidR="00000000" w:rsidRPr="00000000">
        <w:rPr>
          <w:b w:val="1"/>
          <w:rtl w:val="0"/>
        </w:rPr>
        <w:t xml:space="preserve">Vředová choroba gastroduodenální (VGD) </w:t>
      </w:r>
      <w:r w:rsidDel="00000000" w:rsidR="00000000" w:rsidRPr="00000000">
        <w:rPr>
          <w:rtl w:val="0"/>
        </w:rPr>
        <w:t xml:space="preserve">= přítomností peptických vředů v žaludku a/nebo duodenu, především v jeho bulbární části.</w:t>
      </w:r>
    </w:p>
    <w:p w:rsidR="00000000" w:rsidDel="00000000" w:rsidP="00000000" w:rsidRDefault="00000000" w:rsidRPr="00000000" w14:paraId="00000037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Epidemiologie</w:t>
      </w:r>
    </w:p>
    <w:p w:rsidR="00000000" w:rsidDel="00000000" w:rsidP="00000000" w:rsidRDefault="00000000" w:rsidRPr="00000000" w14:paraId="00000039">
      <w:pPr>
        <w:jc w:val="both"/>
        <w:rPr/>
      </w:pPr>
      <w:r w:rsidDel="00000000" w:rsidR="00000000" w:rsidRPr="00000000">
        <w:rPr>
          <w:rtl w:val="0"/>
        </w:rPr>
        <w:t xml:space="preserve">- V</w:t>
      </w:r>
      <w:r w:rsidDel="00000000" w:rsidR="00000000" w:rsidRPr="00000000">
        <w:rPr>
          <w:rtl w:val="0"/>
        </w:rPr>
        <w:t xml:space="preserve"> České republice asi 0,1 %. V průběhu života onemocní VGD přibližně jedna desetina populace.</w:t>
      </w:r>
    </w:p>
    <w:p w:rsidR="00000000" w:rsidDel="00000000" w:rsidP="00000000" w:rsidRDefault="00000000" w:rsidRPr="00000000" w14:paraId="0000003A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Etiologie a patogeneze</w:t>
      </w:r>
    </w:p>
    <w:p w:rsidR="00000000" w:rsidDel="00000000" w:rsidP="00000000" w:rsidRDefault="00000000" w:rsidRPr="00000000" w14:paraId="0000003C">
      <w:pPr>
        <w:jc w:val="both"/>
        <w:rPr>
          <w:b w:val="1"/>
        </w:rPr>
      </w:pPr>
      <w:r w:rsidDel="00000000" w:rsidR="00000000" w:rsidRPr="00000000">
        <w:rPr>
          <w:rtl w:val="0"/>
        </w:rPr>
        <w:t xml:space="preserve">- Hlavními etiologickými infekce </w:t>
      </w:r>
      <w:r w:rsidDel="00000000" w:rsidR="00000000" w:rsidRPr="00000000">
        <w:rPr>
          <w:b w:val="1"/>
          <w:rtl w:val="0"/>
        </w:rPr>
        <w:t xml:space="preserve">Helicobacter pylori (HP) a nadužívání nesteroidních antiflogistik (NSAID).</w:t>
      </w:r>
    </w:p>
    <w:p w:rsidR="00000000" w:rsidDel="00000000" w:rsidP="00000000" w:rsidRDefault="00000000" w:rsidRPr="00000000" w14:paraId="0000003D">
      <w:pPr>
        <w:jc w:val="both"/>
        <w:rPr/>
      </w:pPr>
      <w:r w:rsidDel="00000000" w:rsidR="00000000" w:rsidRPr="00000000">
        <w:rPr>
          <w:b w:val="1"/>
          <w:rtl w:val="0"/>
        </w:rPr>
        <w:t xml:space="preserve">- Mezi vzácné příčiny VGD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3E">
      <w:pPr>
        <w:ind w:left="720" w:firstLine="0"/>
        <w:jc w:val="both"/>
        <w:rPr/>
      </w:pPr>
      <w:r w:rsidDel="00000000" w:rsidR="00000000" w:rsidRPr="00000000">
        <w:rPr>
          <w:b w:val="1"/>
          <w:rtl w:val="0"/>
        </w:rPr>
        <w:t xml:space="preserve">-  Zollinger-Ellisonův syndrom</w:t>
      </w:r>
      <w:r w:rsidDel="00000000" w:rsidR="00000000" w:rsidRPr="00000000">
        <w:rPr>
          <w:rtl w:val="0"/>
        </w:rPr>
        <w:t xml:space="preserve"> - souvislost s endokrinně aktivním nádorem, gastrinomem, produkujícím gastrin - nadprodukci kyseliny chlorovodíkové - vzniku mnohočetných peptických vředů v žaludku i duodenu, často komplikovaných krvácením či perforací.</w:t>
      </w:r>
    </w:p>
    <w:p w:rsidR="00000000" w:rsidDel="00000000" w:rsidP="00000000" w:rsidRDefault="00000000" w:rsidRPr="00000000" w14:paraId="0000003F">
      <w:pPr>
        <w:ind w:left="720" w:firstLine="0"/>
        <w:jc w:val="both"/>
        <w:rPr/>
      </w:pPr>
      <w:r w:rsidDel="00000000" w:rsidR="00000000" w:rsidRPr="00000000">
        <w:rPr>
          <w:rtl w:val="0"/>
        </w:rPr>
        <w:t xml:space="preserve">- Hyperparatyreóza - hyperkalcémie vyvolaná hyperparatyreózou stimuluje zvýšenou produkci gastrinu.</w:t>
      </w:r>
    </w:p>
    <w:p w:rsidR="00000000" w:rsidDel="00000000" w:rsidP="00000000" w:rsidRDefault="00000000" w:rsidRPr="00000000" w14:paraId="00000040">
      <w:pPr>
        <w:ind w:left="720" w:firstLine="0"/>
        <w:jc w:val="both"/>
        <w:rPr>
          <w:u w:val="single"/>
        </w:rPr>
      </w:pPr>
      <w:r w:rsidDel="00000000" w:rsidR="00000000" w:rsidRPr="00000000">
        <w:rPr>
          <w:b w:val="1"/>
          <w:rtl w:val="0"/>
        </w:rPr>
        <w:t xml:space="preserve">- Stres </w:t>
      </w:r>
      <w:r w:rsidDel="00000000" w:rsidR="00000000" w:rsidRPr="00000000">
        <w:rPr>
          <w:rtl w:val="0"/>
        </w:rPr>
        <w:t xml:space="preserve">- kritické stavy nemocných bývají komplikovaný mnohočetnými vředy lokalizovanými na sliznici horní části gastrointestinálního traktu, které jsou nazývány stresovými. Patogeneze je ischemie a porucha mikrocirkulace ve sliznici. Při rozsáhlých popáleninách se označují jako </w:t>
      </w:r>
      <w:r w:rsidDel="00000000" w:rsidR="00000000" w:rsidRPr="00000000">
        <w:rPr>
          <w:u w:val="single"/>
          <w:rtl w:val="0"/>
        </w:rPr>
        <w:t xml:space="preserve">Curlingovy vředy,</w:t>
      </w:r>
      <w:r w:rsidDel="00000000" w:rsidR="00000000" w:rsidRPr="00000000">
        <w:rPr>
          <w:rtl w:val="0"/>
        </w:rPr>
        <w:t xml:space="preserve"> po náročných neurochirurgických operacích jako </w:t>
      </w:r>
      <w:r w:rsidDel="00000000" w:rsidR="00000000" w:rsidRPr="00000000">
        <w:rPr>
          <w:u w:val="single"/>
          <w:rtl w:val="0"/>
        </w:rPr>
        <w:t xml:space="preserve">Cushingovy.</w:t>
      </w:r>
    </w:p>
    <w:p w:rsidR="00000000" w:rsidDel="00000000" w:rsidP="00000000" w:rsidRDefault="00000000" w:rsidRPr="00000000" w14:paraId="00000041">
      <w:pPr>
        <w:ind w:left="720" w:firstLine="0"/>
        <w:jc w:val="both"/>
        <w:rPr/>
      </w:pPr>
      <w:r w:rsidDel="00000000" w:rsidR="00000000" w:rsidRPr="00000000">
        <w:rPr>
          <w:rtl w:val="0"/>
        </w:rPr>
        <w:t xml:space="preserve">- Užívání některých dalších léků jako je například warfarin, KCl, glukokortikoidy, některá cytostatika a imunosupresiva, patří mezi vzácné příčiny VGD. </w:t>
      </w:r>
    </w:p>
    <w:p w:rsidR="00000000" w:rsidDel="00000000" w:rsidP="00000000" w:rsidRDefault="00000000" w:rsidRPr="00000000" w14:paraId="00000042">
      <w:pPr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- Některá onemocnění jsou predisponujícím faktorem</w:t>
      </w:r>
      <w:r w:rsidDel="00000000" w:rsidR="00000000" w:rsidRPr="00000000">
        <w:rPr>
          <w:rtl w:val="0"/>
        </w:rPr>
        <w:t xml:space="preserve"> - jaterní cirhóza, renální insuficience, CHOPN a stavy po transplantacích orgánů. </w:t>
      </w:r>
    </w:p>
    <w:p w:rsidR="00000000" w:rsidDel="00000000" w:rsidP="00000000" w:rsidRDefault="00000000" w:rsidRPr="00000000" w14:paraId="00000043">
      <w:pPr>
        <w:jc w:val="both"/>
        <w:rPr/>
      </w:pPr>
      <w:r w:rsidDel="00000000" w:rsidR="00000000" w:rsidRPr="00000000">
        <w:rPr>
          <w:b w:val="1"/>
          <w:rtl w:val="0"/>
        </w:rPr>
        <w:t xml:space="preserve">- RF</w:t>
      </w:r>
      <w:r w:rsidDel="00000000" w:rsidR="00000000" w:rsidRPr="00000000">
        <w:rPr>
          <w:rtl w:val="0"/>
        </w:rPr>
        <w:t xml:space="preserve"> - kouření, psychický stres a některé genetické predispozice. </w:t>
      </w:r>
    </w:p>
    <w:p w:rsidR="00000000" w:rsidDel="00000000" w:rsidP="00000000" w:rsidRDefault="00000000" w:rsidRPr="00000000" w14:paraId="00000044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Patogeneze</w:t>
      </w:r>
    </w:p>
    <w:p w:rsidR="00000000" w:rsidDel="00000000" w:rsidP="00000000" w:rsidRDefault="00000000" w:rsidRPr="00000000" w14:paraId="00000046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- Nerovnováhy mezi agresivními a protektivními faktory. </w:t>
      </w:r>
    </w:p>
    <w:p w:rsidR="00000000" w:rsidDel="00000000" w:rsidP="00000000" w:rsidRDefault="00000000" w:rsidRPr="00000000" w14:paraId="00000047">
      <w:pPr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- Agresivními faktory</w:t>
      </w:r>
      <w:r w:rsidDel="00000000" w:rsidR="00000000" w:rsidRPr="00000000">
        <w:rPr>
          <w:rtl w:val="0"/>
        </w:rPr>
        <w:t xml:space="preserve"> - kyselina chlorovodíková, pepsin, nesteroidní antiflogistika (a některé další léky), Helicobacter pylori a kouření. </w:t>
      </w:r>
    </w:p>
    <w:p w:rsidR="00000000" w:rsidDel="00000000" w:rsidP="00000000" w:rsidRDefault="00000000" w:rsidRPr="00000000" w14:paraId="00000048">
      <w:pPr>
        <w:ind w:left="0" w:firstLine="0"/>
        <w:jc w:val="both"/>
        <w:rPr/>
      </w:pPr>
      <w:r w:rsidDel="00000000" w:rsidR="00000000" w:rsidRPr="00000000">
        <w:rPr>
          <w:b w:val="1"/>
          <w:rtl w:val="0"/>
        </w:rPr>
        <w:t xml:space="preserve">- Protektivními faktory</w:t>
      </w:r>
      <w:r w:rsidDel="00000000" w:rsidR="00000000" w:rsidRPr="00000000">
        <w:rPr>
          <w:rtl w:val="0"/>
        </w:rPr>
        <w:t xml:space="preserve"> - slizniční prostaglandiny E1, dostatečná mikrocirkulace ve sliznici žaludku a duodena, kvalita ochranného hlenu a reparativních dějů (diferenciace epitelu sliznice žaludku a dvanáctníku). </w:t>
      </w:r>
    </w:p>
    <w:p w:rsidR="00000000" w:rsidDel="00000000" w:rsidP="00000000" w:rsidRDefault="00000000" w:rsidRPr="00000000" w14:paraId="0000004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Dělení</w:t>
      </w:r>
    </w:p>
    <w:p w:rsidR="00000000" w:rsidDel="00000000" w:rsidP="00000000" w:rsidRDefault="00000000" w:rsidRPr="00000000" w14:paraId="0000004B">
      <w:pPr>
        <w:jc w:val="both"/>
        <w:rPr/>
      </w:pPr>
      <w:r w:rsidDel="00000000" w:rsidR="00000000" w:rsidRPr="00000000">
        <w:rPr>
          <w:rtl w:val="0"/>
        </w:rPr>
        <w:t xml:space="preserve">1. vředy bulbu duodena a pyloru</w:t>
      </w:r>
    </w:p>
    <w:p w:rsidR="00000000" w:rsidDel="00000000" w:rsidP="00000000" w:rsidRDefault="00000000" w:rsidRPr="00000000" w14:paraId="0000004C">
      <w:pPr>
        <w:jc w:val="both"/>
        <w:rPr/>
      </w:pPr>
      <w:r w:rsidDel="00000000" w:rsidR="00000000" w:rsidRPr="00000000">
        <w:rPr>
          <w:rtl w:val="0"/>
        </w:rPr>
        <w:t xml:space="preserve">2. vředy žaludečního antra</w:t>
      </w:r>
    </w:p>
    <w:p w:rsidR="00000000" w:rsidDel="00000000" w:rsidP="00000000" w:rsidRDefault="00000000" w:rsidRPr="00000000" w14:paraId="0000004D">
      <w:pPr>
        <w:jc w:val="both"/>
        <w:rPr/>
      </w:pPr>
      <w:r w:rsidDel="00000000" w:rsidR="00000000" w:rsidRPr="00000000">
        <w:rPr>
          <w:rtl w:val="0"/>
        </w:rPr>
        <w:t xml:space="preserve">3. vředy žaludečního těla</w:t>
      </w:r>
    </w:p>
    <w:p w:rsidR="00000000" w:rsidDel="00000000" w:rsidP="00000000" w:rsidRDefault="00000000" w:rsidRPr="00000000" w14:paraId="0000004E">
      <w:pPr>
        <w:jc w:val="both"/>
        <w:rPr/>
      </w:pPr>
      <w:r w:rsidDel="00000000" w:rsidR="00000000" w:rsidRPr="00000000">
        <w:rPr>
          <w:rtl w:val="0"/>
        </w:rPr>
        <w:t xml:space="preserve">4. vředy kardie žaludku</w:t>
      </w:r>
    </w:p>
    <w:p w:rsidR="00000000" w:rsidDel="00000000" w:rsidP="00000000" w:rsidRDefault="00000000" w:rsidRPr="00000000" w14:paraId="0000004F">
      <w:pPr>
        <w:jc w:val="both"/>
        <w:rPr/>
      </w:pPr>
      <w:r w:rsidDel="00000000" w:rsidR="00000000" w:rsidRPr="00000000">
        <w:rPr>
          <w:rtl w:val="0"/>
        </w:rPr>
        <w:t xml:space="preserve">5. Cameronovy vředy v hiátové hernii</w:t>
      </w:r>
    </w:p>
    <w:p w:rsidR="00000000" w:rsidDel="00000000" w:rsidP="00000000" w:rsidRDefault="00000000" w:rsidRPr="00000000" w14:paraId="00000050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Klinický obraz</w:t>
      </w:r>
    </w:p>
    <w:p w:rsidR="00000000" w:rsidDel="00000000" w:rsidP="00000000" w:rsidRDefault="00000000" w:rsidRPr="00000000" w14:paraId="00000052">
      <w:pPr>
        <w:ind w:left="0" w:firstLine="0"/>
        <w:jc w:val="both"/>
        <w:rPr/>
      </w:pPr>
      <w:r w:rsidDel="00000000" w:rsidR="00000000" w:rsidRPr="00000000">
        <w:rPr>
          <w:u w:val="single"/>
          <w:rtl w:val="0"/>
        </w:rPr>
        <w:t xml:space="preserve">- Žaludečního vředu</w:t>
      </w:r>
      <w:r w:rsidDel="00000000" w:rsidR="00000000" w:rsidRPr="00000000">
        <w:rPr>
          <w:rtl w:val="0"/>
        </w:rPr>
        <w:t xml:space="preserve"> patří bolest v horní polovině břicha časně po jídle, nevolnost, zvracení a hubnutí. </w:t>
      </w:r>
    </w:p>
    <w:p w:rsidR="00000000" w:rsidDel="00000000" w:rsidP="00000000" w:rsidRDefault="00000000" w:rsidRPr="00000000" w14:paraId="00000053">
      <w:pPr>
        <w:ind w:left="0" w:firstLine="0"/>
        <w:jc w:val="both"/>
        <w:rPr/>
      </w:pPr>
      <w:r w:rsidDel="00000000" w:rsidR="00000000" w:rsidRPr="00000000">
        <w:rPr>
          <w:u w:val="single"/>
          <w:rtl w:val="0"/>
        </w:rPr>
        <w:t xml:space="preserve">- Dvanáctníkový vřed</w:t>
      </w:r>
      <w:r w:rsidDel="00000000" w:rsidR="00000000" w:rsidRPr="00000000">
        <w:rPr>
          <w:rtl w:val="0"/>
        </w:rPr>
        <w:t xml:space="preserve"> je charakteristická bolest v tzv. duodenálním bodě spíše nalačno nebo v noci, ustupující po jídle. Nemocný nezvrací a nehubne. </w:t>
      </w:r>
    </w:p>
    <w:p w:rsidR="00000000" w:rsidDel="00000000" w:rsidP="00000000" w:rsidRDefault="00000000" w:rsidRPr="00000000" w14:paraId="00000054">
      <w:pPr>
        <w:ind w:left="0" w:firstLine="0"/>
        <w:jc w:val="both"/>
        <w:rPr/>
      </w:pPr>
      <w:r w:rsidDel="00000000" w:rsidR="00000000" w:rsidRPr="00000000">
        <w:rPr>
          <w:rtl w:val="0"/>
        </w:rPr>
        <w:t xml:space="preserve">- U polymorbidních starších nemocných nad 70 let věku bývá VGD často asymptomatická a projeví se až některou ze závažných komplikací.</w:t>
      </w:r>
    </w:p>
    <w:p w:rsidR="00000000" w:rsidDel="00000000" w:rsidP="00000000" w:rsidRDefault="00000000" w:rsidRPr="00000000" w14:paraId="00000055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Diagnóza</w:t>
      </w:r>
    </w:p>
    <w:p w:rsidR="00000000" w:rsidDel="00000000" w:rsidP="00000000" w:rsidRDefault="00000000" w:rsidRPr="00000000" w14:paraId="00000057">
      <w:pPr>
        <w:jc w:val="both"/>
        <w:rPr/>
      </w:pPr>
      <w:r w:rsidDel="00000000" w:rsidR="00000000" w:rsidRPr="00000000">
        <w:rPr>
          <w:b w:val="1"/>
          <w:rtl w:val="0"/>
        </w:rPr>
        <w:t xml:space="preserve">- Endoskopické vyšetření žaludku a dvanáctníku (ezofagogastroduodenoskopie).</w:t>
      </w:r>
      <w:r w:rsidDel="00000000" w:rsidR="00000000" w:rsidRPr="00000000">
        <w:rPr>
          <w:rtl w:val="0"/>
        </w:rPr>
        <w:t xml:space="preserve"> Při zjištění VGD je vždy nutné vyšetřit i přítomnost infekce Helicobacter pylori a v případě pozitivního nálezu je nutná její eradikace.</w:t>
      </w:r>
    </w:p>
    <w:p w:rsidR="00000000" w:rsidDel="00000000" w:rsidP="00000000" w:rsidRDefault="00000000" w:rsidRPr="00000000" w14:paraId="00000058">
      <w:pPr>
        <w:jc w:val="both"/>
        <w:rPr>
          <w:u w:val="single"/>
        </w:rPr>
      </w:pPr>
      <w:r w:rsidDel="00000000" w:rsidR="00000000" w:rsidRPr="00000000">
        <w:rPr>
          <w:u w:val="single"/>
          <w:rtl w:val="0"/>
        </w:rPr>
        <w:t xml:space="preserve">- Diferenciálně diagnosticky</w:t>
      </w:r>
      <w:r w:rsidDel="00000000" w:rsidR="00000000" w:rsidRPr="00000000">
        <w:rPr>
          <w:rtl w:val="0"/>
        </w:rPr>
        <w:t xml:space="preserve"> - na základě histologického vyšetření bioptických vzorků, </w:t>
      </w:r>
      <w:r w:rsidDel="00000000" w:rsidR="00000000" w:rsidRPr="00000000">
        <w:rPr>
          <w:u w:val="single"/>
          <w:rtl w:val="0"/>
        </w:rPr>
        <w:t xml:space="preserve">odlišit vředy nepeptické etiologie, zejména karcinom, lymfom a Crohnovu nemoc.  </w:t>
      </w:r>
    </w:p>
    <w:p w:rsidR="00000000" w:rsidDel="00000000" w:rsidP="00000000" w:rsidRDefault="00000000" w:rsidRPr="00000000" w14:paraId="0000005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Komplikace</w:t>
      </w:r>
    </w:p>
    <w:p w:rsidR="00000000" w:rsidDel="00000000" w:rsidP="00000000" w:rsidRDefault="00000000" w:rsidRPr="00000000" w14:paraId="0000005B">
      <w:pPr>
        <w:jc w:val="both"/>
        <w:rPr/>
      </w:pPr>
      <w:r w:rsidDel="00000000" w:rsidR="00000000" w:rsidRPr="00000000">
        <w:rPr>
          <w:rtl w:val="0"/>
        </w:rPr>
        <w:t xml:space="preserve">- Perforace, zejména vředu žaludečního.</w:t>
      </w:r>
    </w:p>
    <w:p w:rsidR="00000000" w:rsidDel="00000000" w:rsidP="00000000" w:rsidRDefault="00000000" w:rsidRPr="00000000" w14:paraId="0000005C">
      <w:pPr>
        <w:jc w:val="both"/>
        <w:rPr/>
      </w:pPr>
      <w:r w:rsidDel="00000000" w:rsidR="00000000" w:rsidRPr="00000000">
        <w:rPr>
          <w:rtl w:val="0"/>
        </w:rPr>
        <w:t xml:space="preserve">- Penetrace do okolního orgánu u vředu duodenálního. </w:t>
      </w:r>
    </w:p>
    <w:p w:rsidR="00000000" w:rsidDel="00000000" w:rsidP="00000000" w:rsidRDefault="00000000" w:rsidRPr="00000000" w14:paraId="0000005D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jc w:val="both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Terapie</w:t>
      </w:r>
    </w:p>
    <w:p w:rsidR="00000000" w:rsidDel="00000000" w:rsidP="00000000" w:rsidRDefault="00000000" w:rsidRPr="00000000" w14:paraId="0000005F">
      <w:pPr>
        <w:jc w:val="both"/>
        <w:rPr/>
      </w:pPr>
      <w:r w:rsidDel="00000000" w:rsidR="00000000" w:rsidRPr="00000000">
        <w:rPr>
          <w:b w:val="1"/>
          <w:rtl w:val="0"/>
        </w:rPr>
        <w:t xml:space="preserve">1) Dietní a režimové opatření -</w:t>
      </w:r>
      <w:r w:rsidDel="00000000" w:rsidR="00000000" w:rsidRPr="00000000">
        <w:rPr>
          <w:rtl w:val="0"/>
        </w:rPr>
        <w:t xml:space="preserve">  častější konzumace menších objemů stravy, která působí jako přirozené antacidum. Kuřáci musejí přestat kouřit, v období floridního vředu není vhodná konzumace černé kávy a alkoholu. </w:t>
      </w:r>
    </w:p>
    <w:p w:rsidR="00000000" w:rsidDel="00000000" w:rsidP="00000000" w:rsidRDefault="00000000" w:rsidRPr="00000000" w14:paraId="00000060">
      <w:pPr>
        <w:jc w:val="both"/>
        <w:rPr/>
      </w:pPr>
      <w:r w:rsidDel="00000000" w:rsidR="00000000" w:rsidRPr="00000000">
        <w:rPr>
          <w:b w:val="1"/>
          <w:rtl w:val="0"/>
        </w:rPr>
        <w:t xml:space="preserve">2)  PPI způsobují inhibici H+/K+ ATPázy</w:t>
      </w:r>
      <w:r w:rsidDel="00000000" w:rsidR="00000000" w:rsidRPr="00000000">
        <w:rPr>
          <w:rtl w:val="0"/>
        </w:rPr>
        <w:t xml:space="preserve"> (označované jako protonová pumpa). H+/K+ ATPáza je transmembránový protein (složený ze dvou podjednotek) zodpovědný za produkci kyseliny chlorovodíkové v parietálních buňkách žaludku. </w:t>
      </w:r>
    </w:p>
    <w:p w:rsidR="00000000" w:rsidDel="00000000" w:rsidP="00000000" w:rsidRDefault="00000000" w:rsidRPr="00000000" w14:paraId="00000061">
      <w:pPr>
        <w:jc w:val="both"/>
        <w:rPr/>
      </w:pPr>
      <w:r w:rsidDel="00000000" w:rsidR="00000000" w:rsidRPr="00000000">
        <w:rPr>
          <w:b w:val="1"/>
          <w:rtl w:val="0"/>
        </w:rPr>
        <w:t xml:space="preserve">3) Eradikace H. pylori </w:t>
      </w:r>
      <w:r w:rsidDel="00000000" w:rsidR="00000000" w:rsidRPr="00000000">
        <w:rPr>
          <w:rtl w:val="0"/>
        </w:rPr>
        <w:t xml:space="preserve">- sedmidenní terapie je </w:t>
      </w:r>
      <w:r w:rsidDel="00000000" w:rsidR="00000000" w:rsidRPr="00000000">
        <w:rPr>
          <w:u w:val="single"/>
          <w:rtl w:val="0"/>
        </w:rPr>
        <w:t xml:space="preserve">kombinace PPI s dvěma antibiotiky. Nejčastěji je podáván amoxicilin v dvou denních dávkách 1 000 mg a klaritromycin ve dvou denních dávkách 500mg.</w:t>
      </w:r>
      <w:r w:rsidDel="00000000" w:rsidR="00000000" w:rsidRPr="00000000">
        <w:rPr>
          <w:rtl w:val="0"/>
        </w:rPr>
        <w:t xml:space="preserve">  Úspěšnost eradikace HP je třeba ověřit, nejlépe dechovým testem nebo stanovením antigenu HP ve stolici.</w:t>
      </w:r>
    </w:p>
    <w:p w:rsidR="00000000" w:rsidDel="00000000" w:rsidP="00000000" w:rsidRDefault="00000000" w:rsidRPr="00000000" w14:paraId="00000062">
      <w:pPr>
        <w:jc w:val="both"/>
        <w:rPr/>
      </w:pPr>
      <w:r w:rsidDel="00000000" w:rsidR="00000000" w:rsidRPr="00000000">
        <w:rPr>
          <w:rtl w:val="0"/>
        </w:rPr>
        <w:t xml:space="preserve">4) U vředů způsobených nadužíváním NSAID je potřeba tyto vysadit, či alespoň neselektivní</w:t>
      </w:r>
    </w:p>
    <w:p w:rsidR="00000000" w:rsidDel="00000000" w:rsidP="00000000" w:rsidRDefault="00000000" w:rsidRPr="00000000" w14:paraId="00000063">
      <w:pPr>
        <w:jc w:val="both"/>
        <w:rPr/>
      </w:pPr>
      <w:r w:rsidDel="00000000" w:rsidR="00000000" w:rsidRPr="00000000">
        <w:rPr>
          <w:rtl w:val="0"/>
        </w:rPr>
        <w:t xml:space="preserve">NSAID nahradit selektivními.</w:t>
      </w:r>
    </w:p>
    <w:p w:rsidR="00000000" w:rsidDel="00000000" w:rsidP="00000000" w:rsidRDefault="00000000" w:rsidRPr="00000000" w14:paraId="00000064">
      <w:pPr>
        <w:jc w:val="both"/>
        <w:rPr>
          <w:u w:val="single"/>
        </w:rPr>
      </w:pPr>
      <w:r w:rsidDel="00000000" w:rsidR="00000000" w:rsidRPr="00000000">
        <w:rPr>
          <w:rtl w:val="0"/>
        </w:rPr>
        <w:t xml:space="preserve">5) Efektivitu léčby, tedy zhojení ulcerace, není třeba kontrolovat v duodenu, v žaludku přirozeně ano, vždy včetně odběru bioptických vzorků k histologickému vyšetření. </w:t>
      </w:r>
      <w:r w:rsidDel="00000000" w:rsidR="00000000" w:rsidRPr="00000000">
        <w:rPr>
          <w:u w:val="single"/>
          <w:rtl w:val="0"/>
        </w:rPr>
        <w:t xml:space="preserve">Kontrolní gastroskopie by měla být provedena do tří měsíců od zahájení terapie VGD.</w:t>
      </w:r>
    </w:p>
    <w:p w:rsidR="00000000" w:rsidDel="00000000" w:rsidP="00000000" w:rsidRDefault="00000000" w:rsidRPr="00000000" w14:paraId="00000065">
      <w:pPr>
        <w:rPr/>
      </w:pPr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c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